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5D" w:rsidRPr="00620C5D" w:rsidRDefault="00620C5D" w:rsidP="00620C5D">
      <w:pPr>
        <w:spacing w:before="100" w:beforeAutospacing="1" w:after="100" w:afterAutospacing="1" w:line="240" w:lineRule="auto"/>
        <w:outlineLvl w:val="0"/>
        <w:rPr>
          <w:rFonts w:ascii="Arial" w:eastAsia="Times New Roman" w:hAnsi="Arial" w:cs="Arial"/>
          <w:color w:val="646464"/>
          <w:kern w:val="36"/>
          <w:sz w:val="48"/>
          <w:szCs w:val="48"/>
        </w:rPr>
      </w:pPr>
      <w:r w:rsidRPr="00620C5D">
        <w:rPr>
          <w:rFonts w:ascii="Arial" w:eastAsia="Times New Roman" w:hAnsi="Arial" w:cs="Arial"/>
          <w:color w:val="646464"/>
          <w:kern w:val="36"/>
          <w:sz w:val="48"/>
          <w:szCs w:val="48"/>
        </w:rPr>
        <w:t>Порядок поступления на муниципальную службу и ее прохождение</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законом «Об основах муниципальной службы в Российской Федерации». 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законами субъекта Российской Федерации.</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proofErr w:type="gramStart"/>
      <w:r w:rsidRPr="00620C5D">
        <w:rPr>
          <w:rFonts w:ascii="Arial" w:eastAsia="Times New Roman" w:hAnsi="Arial" w:cs="Arial"/>
          <w:color w:val="646464"/>
          <w:sz w:val="25"/>
          <w:szCs w:val="25"/>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roofErr w:type="gramEnd"/>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proofErr w:type="gramStart"/>
      <w:r w:rsidRPr="00620C5D">
        <w:rPr>
          <w:rFonts w:ascii="Arial" w:eastAsia="Times New Roman" w:hAnsi="Arial" w:cs="Arial"/>
          <w:color w:val="646464"/>
          <w:sz w:val="25"/>
          <w:szCs w:val="25"/>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При поступлении на муниципальную службу гражданин представляет:</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 заявление с просьбой о поступлении на муниципальную службу и замещении должности муниципальной службы;</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2) собственноручно заполненную и подписанную анкету по форме, установленной Правительством Российской Федерации;</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3) паспорт;</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4) трудовую книжку, за исключением случаев, когда трудовой договор (контракт) заключается впервые;</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5) документ об образовании;</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7) свидетельство о постановке физического лица на учет в налоговом органе по месту жительства на территории Российской Федерации;</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8) документы воинского учета - для военнообязанных и лиц, подлежащих призыву на военную службу;</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9) заключение медицинского учреждения об отсутствии заболевания, препятствующего поступлению на муниципальную службу;</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20C5D" w:rsidRPr="00620C5D" w:rsidRDefault="00620C5D" w:rsidP="00620C5D">
      <w:pPr>
        <w:numPr>
          <w:ilvl w:val="0"/>
          <w:numId w:val="1"/>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Сведения, представленные в соответствии с настоящим Федеральным законом[6]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 xml:space="preserve">Поступление гражданина на муниципальную службу осуществляется </w:t>
      </w:r>
      <w:proofErr w:type="gramStart"/>
      <w:r w:rsidRPr="00620C5D">
        <w:rPr>
          <w:rFonts w:ascii="Arial" w:eastAsia="Times New Roman" w:hAnsi="Arial" w:cs="Arial"/>
          <w:color w:val="646464"/>
          <w:sz w:val="25"/>
          <w:szCs w:val="25"/>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620C5D">
        <w:rPr>
          <w:rFonts w:ascii="Arial" w:eastAsia="Times New Roman" w:hAnsi="Arial" w:cs="Arial"/>
          <w:color w:val="646464"/>
          <w:sz w:val="25"/>
          <w:szCs w:val="25"/>
        </w:rPr>
        <w:t xml:space="preserve"> с учетом особенностей, предусмотренных настоящим Федеральным законом.</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В связи с прохождением муниципальной службы муниципальному служащему запрещается:</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2) замещать должность муниципальной службы в случае:</w:t>
      </w:r>
    </w:p>
    <w:p w:rsidR="00620C5D" w:rsidRPr="00620C5D" w:rsidRDefault="00620C5D" w:rsidP="00620C5D">
      <w:pPr>
        <w:numPr>
          <w:ilvl w:val="1"/>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20C5D" w:rsidRPr="00620C5D" w:rsidRDefault="00620C5D" w:rsidP="00620C5D">
      <w:pPr>
        <w:numPr>
          <w:ilvl w:val="1"/>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б) избрания или назначения на муниципальную должность;</w:t>
      </w:r>
    </w:p>
    <w:p w:rsidR="00620C5D" w:rsidRPr="00620C5D" w:rsidRDefault="00620C5D" w:rsidP="00620C5D">
      <w:pPr>
        <w:numPr>
          <w:ilvl w:val="1"/>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3) заниматься предпринимательской деятельностью;</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proofErr w:type="gramStart"/>
      <w:r w:rsidRPr="00620C5D">
        <w:rPr>
          <w:rFonts w:ascii="Arial" w:eastAsia="Times New Roman" w:hAnsi="Arial" w:cs="Arial"/>
          <w:color w:val="646464"/>
          <w:sz w:val="25"/>
          <w:szCs w:val="25"/>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11) использовать преимущества должностного положения для предвыборной агитации, а также для агитации по вопросам референдума;</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14) прекращать исполнение должностных обязанностей в целях урегулирования трудового спора;</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0C5D" w:rsidRPr="00620C5D" w:rsidRDefault="00620C5D" w:rsidP="00620C5D">
      <w:pPr>
        <w:numPr>
          <w:ilvl w:val="0"/>
          <w:numId w:val="2"/>
        </w:num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Муниципальному служащему устанавливается ежегодный оплачиваемый отпуск продолжительностью не менее 30 календарных дней. Для отдельных категорий муниципальных служащих федеральными законами и законами субъектов Российской Федерации устанавливается ежегодный оплачиваемый отпуск большей продолжительности. Сверх ежегодного оплачиваемого отпуска муниципальному служащему за выслугу лет предоставляется дополнительный оплачиваемый отпуск.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 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законом[7]. Что касается пенсионного обеспечения, то в этой области на муниципального служащего в полном объеме распространяются права государственного служащего в Российской Федерации.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муниципальных должностей муниципальной службы и государственных должностей государственной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по соответствующей государственной должности.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В стаж муниципальной службы муниципального служащего включается время работы на муниципальных должностях муниципальной службы, выборных муниципальных должностях и государственных должностях, но, в соответствии с федеральными законами и законами субъектов Российской Федерации, могут включаться и иные периоды трудовой деятельности. Стаж муниципальной службы муниципального служащего приравнивается к стажу государственной службы государственного служащего. 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w:t>
      </w:r>
    </w:p>
    <w:p w:rsidR="00620C5D" w:rsidRPr="00620C5D" w:rsidRDefault="00620C5D" w:rsidP="00620C5D">
      <w:pPr>
        <w:spacing w:before="100" w:beforeAutospacing="1" w:after="100" w:afterAutospacing="1" w:line="240" w:lineRule="auto"/>
        <w:rPr>
          <w:rFonts w:ascii="Arial" w:eastAsia="Times New Roman" w:hAnsi="Arial" w:cs="Arial"/>
          <w:color w:val="646464"/>
          <w:sz w:val="25"/>
          <w:szCs w:val="25"/>
        </w:rPr>
      </w:pPr>
      <w:r w:rsidRPr="00620C5D">
        <w:rPr>
          <w:rFonts w:ascii="Arial" w:eastAsia="Times New Roman" w:hAnsi="Arial" w:cs="Arial"/>
          <w:color w:val="646464"/>
          <w:sz w:val="25"/>
          <w:szCs w:val="25"/>
        </w:rPr>
        <w:t>К муниципальному служащему могут быть применены поощрения. Они применяются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Это - важное средство воспитания муниципальных служащих и укрепления служебной дисциплины. Это могут быть, например, объявление благодарности, выдача премии, награждение ценным подарком и др.</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 xml:space="preserve">Муниципальная служба - это сложный, комплексный, социальный, правовой и организационный институт. </w:t>
      </w:r>
      <w:proofErr w:type="gramStart"/>
      <w:r>
        <w:rPr>
          <w:rFonts w:ascii="Arial" w:hAnsi="Arial" w:cs="Arial"/>
          <w:color w:val="646464"/>
          <w:sz w:val="25"/>
          <w:szCs w:val="25"/>
        </w:rPr>
        <w:t>В ходе проделанной работы можно сделать вывод, что в соответствии с законом РФ и законами субъектов Российской Федерации правовая основа муниципальной службы определяется не только перечисленными выше законами, но и уставами муниципальных образований, муниципальными правовыми актами, куда включаются требования к должностям, статус муниципального служащего, условия и порядок прохождения муниципальной службы, ответственность должностных лиц.</w:t>
      </w:r>
      <w:proofErr w:type="gramEnd"/>
      <w:r>
        <w:rPr>
          <w:rFonts w:ascii="Arial" w:hAnsi="Arial" w:cs="Arial"/>
          <w:color w:val="646464"/>
          <w:sz w:val="25"/>
          <w:szCs w:val="25"/>
        </w:rPr>
        <w:t xml:space="preserve"> Устав муниципального образования и муниципальные правовые акты утверждаются представительным органом местного самоуправления. Каждый гражданин Российской Федерации, достигший возраста 18 лет, имеет право поступить на муниципальную службу, если он соответствует всем требованиям </w:t>
      </w:r>
      <w:proofErr w:type="gramStart"/>
      <w:r>
        <w:rPr>
          <w:rFonts w:ascii="Arial" w:hAnsi="Arial" w:cs="Arial"/>
          <w:color w:val="646464"/>
          <w:sz w:val="25"/>
          <w:szCs w:val="25"/>
        </w:rPr>
        <w:t>согласно законодательства</w:t>
      </w:r>
      <w:proofErr w:type="gramEnd"/>
      <w:r>
        <w:rPr>
          <w:rFonts w:ascii="Arial" w:hAnsi="Arial" w:cs="Arial"/>
          <w:color w:val="646464"/>
          <w:sz w:val="25"/>
          <w:szCs w:val="25"/>
        </w:rPr>
        <w:t xml:space="preserve">. Муниципальная служба - это профессиональная деятельность, которая осуществляется на постоянной </w:t>
      </w:r>
      <w:proofErr w:type="gramStart"/>
      <w:r>
        <w:rPr>
          <w:rFonts w:ascii="Arial" w:hAnsi="Arial" w:cs="Arial"/>
          <w:color w:val="646464"/>
          <w:sz w:val="25"/>
          <w:szCs w:val="25"/>
        </w:rPr>
        <w:t>основе</w:t>
      </w:r>
      <w:proofErr w:type="gramEnd"/>
      <w:r>
        <w:rPr>
          <w:rFonts w:ascii="Arial" w:hAnsi="Arial" w:cs="Arial"/>
          <w:color w:val="646464"/>
          <w:sz w:val="25"/>
          <w:szCs w:val="25"/>
        </w:rPr>
        <w:t xml:space="preserve"> на муниципальной должности.</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На основе анализа существующих подходов к пониманию служебной деятельности предлагается следующее определение службы как вида профессиональной деятельности. Служба - это разновидность социальной трудовой деятельности, которая осуществляется на постоянной основе, заключается в обработке информационных потоков и регулируется правовыми нормами непосредственно в процессе своего осуществления. В данном определении соединены те признаки службы, которые характерны для всех ее видов. Вместе с тем служебная деятельность является достаточно неоднородной.</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Качество законов и эффективность правового регулирования во многом зависят от того, как в них сформулированы и раскрыты принципы.</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В работе подробно проанализированы принципы муниципальной службы, закрепленные действующим законом о муниципальной службе. Подводя итоги, отметим, что принципы муниципальной службы в целом схожи с принципами государственной гражданской службы, что подчеркивает взаимосвязь этих видов публичной службы.</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Правовой статус муниципального служащего, представляет собой центральный элемент специфики правового регулирования труда муниципального служащего. Именно нормы о правовом статусе устанавливают отличие муниципальной службы от обычной трудовой деятельности, а муниципального служащего, соответственно, от обычного работника. И, наконец, правовой статус муниципального служащего в наибольшей степени из всех законодательных норм о муниципальной службе сближает его с государственным служащим.</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Муниципальная служба обладает рядом особенностей по сравнению с иными видами профессиональной деятельности, которые, обусловлены ее публичным характером. В этой связи действующим законодательством предусматриваются особые требования к лицам, поступающим на муниципальную службу.</w:t>
      </w:r>
    </w:p>
    <w:p w:rsidR="00620C5D" w:rsidRDefault="00620C5D" w:rsidP="00620C5D">
      <w:pPr>
        <w:pStyle w:val="a3"/>
        <w:rPr>
          <w:rFonts w:ascii="Arial" w:hAnsi="Arial" w:cs="Arial"/>
          <w:color w:val="646464"/>
          <w:sz w:val="25"/>
          <w:szCs w:val="25"/>
        </w:rPr>
      </w:pPr>
      <w:r>
        <w:rPr>
          <w:rFonts w:ascii="Arial" w:hAnsi="Arial" w:cs="Arial"/>
          <w:color w:val="646464"/>
          <w:sz w:val="25"/>
          <w:szCs w:val="25"/>
        </w:rPr>
        <w:t>Муниципальная служба - одна из ветвей местного самоуправления. Для нормального функционирования демократического государства необходимо наличие эффективного местного самоуправления. Европейская Хартия о местном самоуправлении трактует, что "органы местного самоуправления составляют одну из основ демократического строя". Оно признано и гарантировано Основным законом нашего государства.</w:t>
      </w:r>
    </w:p>
    <w:p w:rsidR="005E7AA0" w:rsidRDefault="005E7AA0"/>
    <w:sectPr w:rsidR="005E7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E0337"/>
    <w:multiLevelType w:val="multilevel"/>
    <w:tmpl w:val="00D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343270"/>
    <w:multiLevelType w:val="multilevel"/>
    <w:tmpl w:val="DDD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620C5D"/>
    <w:rsid w:val="005E7AA0"/>
    <w:rsid w:val="00620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0C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C5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20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712855">
      <w:bodyDiv w:val="1"/>
      <w:marLeft w:val="0"/>
      <w:marRight w:val="0"/>
      <w:marTop w:val="0"/>
      <w:marBottom w:val="0"/>
      <w:divBdr>
        <w:top w:val="none" w:sz="0" w:space="0" w:color="auto"/>
        <w:left w:val="none" w:sz="0" w:space="0" w:color="auto"/>
        <w:bottom w:val="none" w:sz="0" w:space="0" w:color="auto"/>
        <w:right w:val="none" w:sz="0" w:space="0" w:color="auto"/>
      </w:divBdr>
    </w:div>
    <w:div w:id="18094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2319</Words>
  <Characters>13222</Characters>
  <Application>Microsoft Office Word</Application>
  <DocSecurity>0</DocSecurity>
  <Lines>110</Lines>
  <Paragraphs>31</Paragraphs>
  <ScaleCrop>false</ScaleCrop>
  <Company>Microsoft</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2022-04-11T10:26:00Z</dcterms:created>
  <dcterms:modified xsi:type="dcterms:W3CDTF">2022-04-11T10:27:00Z</dcterms:modified>
</cp:coreProperties>
</file>